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B7DCC6" w14:textId="77777777" w:rsidR="00C64ACE" w:rsidRDefault="00000000">
      <w:pPr>
        <w:jc w:val="center"/>
        <w:rPr>
          <w:rFonts w:ascii="Arial" w:eastAsia="Arial" w:hAnsi="Arial" w:cs="Arial"/>
          <w:b/>
          <w:sz w:val="40"/>
          <w:szCs w:val="40"/>
        </w:rPr>
      </w:pPr>
      <w:r>
        <w:rPr>
          <w:rFonts w:ascii="Arial" w:eastAsia="Arial" w:hAnsi="Arial" w:cs="Arial"/>
          <w:b/>
          <w:sz w:val="40"/>
          <w:szCs w:val="40"/>
        </w:rPr>
        <w:t xml:space="preserve">Summer </w:t>
      </w:r>
      <w:proofErr w:type="spellStart"/>
      <w:r>
        <w:rPr>
          <w:rFonts w:ascii="Arial" w:eastAsia="Arial" w:hAnsi="Arial" w:cs="Arial"/>
          <w:b/>
          <w:sz w:val="40"/>
          <w:szCs w:val="40"/>
        </w:rPr>
        <w:t>of</w:t>
      </w:r>
      <w:proofErr w:type="spellEnd"/>
      <w:r>
        <w:rPr>
          <w:rFonts w:ascii="Arial" w:eastAsia="Arial" w:hAnsi="Arial" w:cs="Arial"/>
          <w:b/>
          <w:sz w:val="40"/>
          <w:szCs w:val="40"/>
        </w:rPr>
        <w:t xml:space="preserve"> </w:t>
      </w:r>
      <w:proofErr w:type="spellStart"/>
      <w:r>
        <w:rPr>
          <w:rFonts w:ascii="Arial" w:eastAsia="Arial" w:hAnsi="Arial" w:cs="Arial"/>
          <w:b/>
          <w:sz w:val="40"/>
          <w:szCs w:val="40"/>
        </w:rPr>
        <w:t>Smiles</w:t>
      </w:r>
      <w:proofErr w:type="spellEnd"/>
      <w:r>
        <w:rPr>
          <w:rFonts w:ascii="Arial" w:eastAsia="Arial" w:hAnsi="Arial" w:cs="Arial"/>
          <w:b/>
          <w:sz w:val="40"/>
          <w:szCs w:val="40"/>
        </w:rPr>
        <w:t xml:space="preserve">: un verano de lujo, diversión y relajación en </w:t>
      </w:r>
      <w:proofErr w:type="spellStart"/>
      <w:r>
        <w:rPr>
          <w:rFonts w:ascii="Arial" w:eastAsia="Arial" w:hAnsi="Arial" w:cs="Arial"/>
          <w:b/>
          <w:sz w:val="40"/>
          <w:szCs w:val="40"/>
        </w:rPr>
        <w:t>VidantaWorld</w:t>
      </w:r>
      <w:proofErr w:type="spellEnd"/>
      <w:r>
        <w:rPr>
          <w:rFonts w:ascii="Arial" w:eastAsia="Arial" w:hAnsi="Arial" w:cs="Arial"/>
          <w:b/>
          <w:sz w:val="40"/>
          <w:szCs w:val="40"/>
        </w:rPr>
        <w:t xml:space="preserve"> Riviera Maya</w:t>
      </w:r>
    </w:p>
    <w:p w14:paraId="3B9D6183" w14:textId="7ABCBAEE" w:rsidR="00C64ACE" w:rsidRDefault="00000000">
      <w:pPr>
        <w:jc w:val="both"/>
        <w:rPr>
          <w:sz w:val="22"/>
          <w:szCs w:val="22"/>
        </w:rPr>
      </w:pPr>
      <w:r>
        <w:rPr>
          <w:rFonts w:ascii="Arial" w:eastAsia="Arial" w:hAnsi="Arial" w:cs="Arial"/>
          <w:b/>
          <w:sz w:val="22"/>
          <w:szCs w:val="22"/>
        </w:rPr>
        <w:t xml:space="preserve">Riviera Maya, México, </w:t>
      </w:r>
      <w:r w:rsidR="00C006F0">
        <w:rPr>
          <w:rFonts w:ascii="Arial" w:eastAsia="Arial" w:hAnsi="Arial" w:cs="Arial"/>
          <w:b/>
          <w:sz w:val="22"/>
          <w:szCs w:val="22"/>
        </w:rPr>
        <w:t>29</w:t>
      </w:r>
      <w:r>
        <w:rPr>
          <w:rFonts w:ascii="Arial" w:eastAsia="Arial" w:hAnsi="Arial" w:cs="Arial"/>
          <w:b/>
          <w:sz w:val="22"/>
          <w:szCs w:val="22"/>
        </w:rPr>
        <w:t xml:space="preserve"> de mayo de 2025. </w:t>
      </w:r>
      <w:r>
        <w:rPr>
          <w:rFonts w:ascii="Arial" w:eastAsia="Arial" w:hAnsi="Arial" w:cs="Arial"/>
          <w:sz w:val="22"/>
          <w:szCs w:val="22"/>
        </w:rPr>
        <w:t xml:space="preserve">– </w:t>
      </w:r>
      <w:r>
        <w:rPr>
          <w:sz w:val="22"/>
          <w:szCs w:val="22"/>
        </w:rPr>
        <w:t xml:space="preserve">Este verano te invitamos a ti y a tu familia a vivir unas vacaciones de verano inolvidables con el paquete Summer </w:t>
      </w:r>
      <w:proofErr w:type="spellStart"/>
      <w:r>
        <w:rPr>
          <w:sz w:val="22"/>
          <w:szCs w:val="22"/>
        </w:rPr>
        <w:t>of</w:t>
      </w:r>
      <w:proofErr w:type="spellEnd"/>
      <w:r>
        <w:rPr>
          <w:sz w:val="22"/>
          <w:szCs w:val="22"/>
        </w:rPr>
        <w:t xml:space="preserve"> </w:t>
      </w:r>
      <w:proofErr w:type="spellStart"/>
      <w:r>
        <w:rPr>
          <w:sz w:val="22"/>
          <w:szCs w:val="22"/>
        </w:rPr>
        <w:t>Smiles</w:t>
      </w:r>
      <w:proofErr w:type="spellEnd"/>
      <w:r>
        <w:rPr>
          <w:sz w:val="22"/>
          <w:szCs w:val="22"/>
        </w:rPr>
        <w:t xml:space="preserve"> en </w:t>
      </w:r>
      <w:proofErr w:type="spellStart"/>
      <w:r>
        <w:rPr>
          <w:sz w:val="22"/>
          <w:szCs w:val="22"/>
        </w:rPr>
        <w:t>VidantaWorld</w:t>
      </w:r>
      <w:proofErr w:type="spellEnd"/>
      <w:r>
        <w:rPr>
          <w:sz w:val="22"/>
          <w:szCs w:val="22"/>
        </w:rPr>
        <w:t xml:space="preserve"> Riviera Maya. Este exclusivo paquete combina lujo, diversión y descanso en un entorno rodeado de belleza natural en el Caribe mexicano para quienes buscan una experiencia única para toda la familia.</w:t>
      </w:r>
    </w:p>
    <w:p w14:paraId="1FB2A04E" w14:textId="77777777" w:rsidR="00C64ACE" w:rsidRDefault="00000000">
      <w:pPr>
        <w:jc w:val="both"/>
        <w:rPr>
          <w:sz w:val="22"/>
          <w:szCs w:val="22"/>
        </w:rPr>
      </w:pPr>
      <w:r>
        <w:rPr>
          <w:sz w:val="22"/>
          <w:szCs w:val="22"/>
        </w:rPr>
        <w:t xml:space="preserve">Al reservar una estancia mínima de cinco noches en </w:t>
      </w:r>
      <w:proofErr w:type="spellStart"/>
      <w:r>
        <w:rPr>
          <w:sz w:val="22"/>
          <w:szCs w:val="22"/>
        </w:rPr>
        <w:t>Jungala</w:t>
      </w:r>
      <w:proofErr w:type="spellEnd"/>
      <w:r>
        <w:rPr>
          <w:sz w:val="22"/>
          <w:szCs w:val="22"/>
        </w:rPr>
        <w:t xml:space="preserve"> Park Hotel, puedes disfrutar de </w:t>
      </w:r>
      <w:proofErr w:type="spellStart"/>
      <w:r>
        <w:rPr>
          <w:sz w:val="22"/>
          <w:szCs w:val="22"/>
        </w:rPr>
        <w:t>Vidanta</w:t>
      </w:r>
      <w:proofErr w:type="spellEnd"/>
      <w:r>
        <w:rPr>
          <w:sz w:val="22"/>
          <w:szCs w:val="22"/>
        </w:rPr>
        <w:t xml:space="preserve"> Summer Camp, un campamento diseñado para niños de 5 a 12 años, y más beneficios exclusivos.</w:t>
      </w:r>
    </w:p>
    <w:p w14:paraId="22BC8F47" w14:textId="77777777" w:rsidR="00C64ACE" w:rsidRDefault="00000000">
      <w:pPr>
        <w:jc w:val="both"/>
        <w:rPr>
          <w:sz w:val="22"/>
          <w:szCs w:val="22"/>
        </w:rPr>
      </w:pPr>
      <w:r>
        <w:rPr>
          <w:sz w:val="22"/>
          <w:szCs w:val="22"/>
        </w:rPr>
        <w:t xml:space="preserve">En </w:t>
      </w:r>
      <w:proofErr w:type="spellStart"/>
      <w:r>
        <w:rPr>
          <w:sz w:val="22"/>
          <w:szCs w:val="22"/>
        </w:rPr>
        <w:t>Vidanta</w:t>
      </w:r>
      <w:proofErr w:type="spellEnd"/>
      <w:r>
        <w:rPr>
          <w:sz w:val="22"/>
          <w:szCs w:val="22"/>
        </w:rPr>
        <w:t xml:space="preserve"> Summer Camp sus hijos podrán disfrutar de una variedad de actividades divertidas, desde talleres de manualidades y juegos al aire libre hasta deportes. Además, cada actividad está supervisada por un equipo capacitado y con experiencia en el cuidado infantil, para que los niños se diviertan, aprendan y disfruten de un ambiente seguro y acogedor.</w:t>
      </w:r>
    </w:p>
    <w:p w14:paraId="36D16073" w14:textId="77777777" w:rsidR="00C64ACE" w:rsidRDefault="00000000">
      <w:pPr>
        <w:jc w:val="both"/>
        <w:rPr>
          <w:sz w:val="22"/>
          <w:szCs w:val="22"/>
        </w:rPr>
      </w:pPr>
      <w:r>
        <w:rPr>
          <w:sz w:val="22"/>
          <w:szCs w:val="22"/>
        </w:rPr>
        <w:t xml:space="preserve">Este paquete vacacional se complementa con accesos a </w:t>
      </w:r>
      <w:proofErr w:type="spellStart"/>
      <w:r>
        <w:rPr>
          <w:sz w:val="22"/>
          <w:szCs w:val="22"/>
        </w:rPr>
        <w:t>Jungala</w:t>
      </w:r>
      <w:proofErr w:type="spellEnd"/>
      <w:r>
        <w:rPr>
          <w:sz w:val="22"/>
          <w:szCs w:val="22"/>
        </w:rPr>
        <w:t xml:space="preserve"> Aqua </w:t>
      </w:r>
      <w:proofErr w:type="spellStart"/>
      <w:r>
        <w:rPr>
          <w:sz w:val="22"/>
          <w:szCs w:val="22"/>
        </w:rPr>
        <w:t>Experience</w:t>
      </w:r>
      <w:proofErr w:type="spellEnd"/>
      <w:r>
        <w:rPr>
          <w:sz w:val="22"/>
          <w:szCs w:val="22"/>
        </w:rPr>
        <w:t>, un oasis acuático con las mejores atracciones a nivel mundial y cabañas VIP donde padres e hijos podrán vivir emocionantes aventuras y momentos de máxima relajación.</w:t>
      </w:r>
    </w:p>
    <w:p w14:paraId="196DE476" w14:textId="77777777" w:rsidR="00C64ACE" w:rsidRDefault="00000000">
      <w:pPr>
        <w:jc w:val="both"/>
        <w:rPr>
          <w:sz w:val="22"/>
          <w:szCs w:val="22"/>
        </w:rPr>
      </w:pPr>
      <w:r>
        <w:rPr>
          <w:sz w:val="22"/>
          <w:szCs w:val="22"/>
        </w:rPr>
        <w:t xml:space="preserve">En </w:t>
      </w:r>
      <w:proofErr w:type="spellStart"/>
      <w:r>
        <w:rPr>
          <w:sz w:val="22"/>
          <w:szCs w:val="22"/>
        </w:rPr>
        <w:t>VidantaWorld</w:t>
      </w:r>
      <w:proofErr w:type="spellEnd"/>
      <w:r>
        <w:rPr>
          <w:sz w:val="22"/>
          <w:szCs w:val="22"/>
        </w:rPr>
        <w:t xml:space="preserve"> Riviera Maya, los huéspedes tendrán la oportunidad de explorar todo lo que ofrece el resort, desde espectáculos asombrosos como </w:t>
      </w:r>
      <w:proofErr w:type="spellStart"/>
      <w:r>
        <w:rPr>
          <w:sz w:val="22"/>
          <w:szCs w:val="22"/>
        </w:rPr>
        <w:t>Cirque</w:t>
      </w:r>
      <w:proofErr w:type="spellEnd"/>
      <w:r>
        <w:rPr>
          <w:sz w:val="22"/>
          <w:szCs w:val="22"/>
        </w:rPr>
        <w:t xml:space="preserve"> du </w:t>
      </w:r>
      <w:proofErr w:type="spellStart"/>
      <w:r>
        <w:rPr>
          <w:sz w:val="22"/>
          <w:szCs w:val="22"/>
        </w:rPr>
        <w:t>Soleil</w:t>
      </w:r>
      <w:proofErr w:type="spellEnd"/>
      <w:r>
        <w:rPr>
          <w:sz w:val="22"/>
          <w:szCs w:val="22"/>
        </w:rPr>
        <w:t xml:space="preserve"> JOYÀ, gastronomía gourmet en nuestros 15 restaurantes y bares hasta spas de máximo lujo.</w:t>
      </w:r>
    </w:p>
    <w:p w14:paraId="27E23DB0" w14:textId="77777777" w:rsidR="00C64ACE" w:rsidRDefault="00000000">
      <w:pPr>
        <w:spacing w:before="240" w:after="240"/>
        <w:jc w:val="both"/>
        <w:rPr>
          <w:rFonts w:ascii="Arial" w:eastAsia="Arial" w:hAnsi="Arial" w:cs="Arial"/>
          <w:b/>
        </w:rPr>
      </w:pPr>
      <w:r>
        <w:rPr>
          <w:b/>
        </w:rPr>
        <w:t xml:space="preserve">Summer </w:t>
      </w:r>
      <w:proofErr w:type="spellStart"/>
      <w:r>
        <w:rPr>
          <w:b/>
        </w:rPr>
        <w:t>of</w:t>
      </w:r>
      <w:proofErr w:type="spellEnd"/>
      <w:r>
        <w:rPr>
          <w:b/>
        </w:rPr>
        <w:t xml:space="preserve"> </w:t>
      </w:r>
      <w:proofErr w:type="spellStart"/>
      <w:r>
        <w:rPr>
          <w:b/>
        </w:rPr>
        <w:t>Smiles</w:t>
      </w:r>
      <w:proofErr w:type="spellEnd"/>
      <w:r>
        <w:rPr>
          <w:b/>
        </w:rPr>
        <w:t>: la mejor experiencia familiar del verano</w:t>
      </w:r>
    </w:p>
    <w:p w14:paraId="2D6552F8" w14:textId="77777777" w:rsidR="00C64ACE" w:rsidRDefault="00000000">
      <w:pPr>
        <w:spacing w:before="240" w:after="240"/>
        <w:jc w:val="both"/>
        <w:rPr>
          <w:sz w:val="22"/>
          <w:szCs w:val="22"/>
        </w:rPr>
      </w:pPr>
      <w:r>
        <w:rPr>
          <w:sz w:val="22"/>
          <w:szCs w:val="22"/>
        </w:rPr>
        <w:t xml:space="preserve">Este verano, disfruta de unas vacaciones inolvidables con toda la familia en </w:t>
      </w:r>
      <w:proofErr w:type="spellStart"/>
      <w:r>
        <w:rPr>
          <w:sz w:val="22"/>
          <w:szCs w:val="22"/>
        </w:rPr>
        <w:t>Jungala</w:t>
      </w:r>
      <w:proofErr w:type="spellEnd"/>
      <w:r>
        <w:rPr>
          <w:sz w:val="22"/>
          <w:szCs w:val="22"/>
        </w:rPr>
        <w:t xml:space="preserve"> Park Hotel, ubicado en </w:t>
      </w:r>
      <w:proofErr w:type="spellStart"/>
      <w:r>
        <w:rPr>
          <w:sz w:val="22"/>
          <w:szCs w:val="22"/>
        </w:rPr>
        <w:t>VidantaWorld</w:t>
      </w:r>
      <w:proofErr w:type="spellEnd"/>
      <w:r>
        <w:rPr>
          <w:sz w:val="22"/>
          <w:szCs w:val="22"/>
        </w:rPr>
        <w:t xml:space="preserve"> Riviera Maya. El paquete Summer </w:t>
      </w:r>
      <w:proofErr w:type="spellStart"/>
      <w:r>
        <w:rPr>
          <w:sz w:val="22"/>
          <w:szCs w:val="22"/>
        </w:rPr>
        <w:t>of</w:t>
      </w:r>
      <w:proofErr w:type="spellEnd"/>
      <w:r>
        <w:rPr>
          <w:sz w:val="22"/>
          <w:szCs w:val="22"/>
        </w:rPr>
        <w:t xml:space="preserve"> </w:t>
      </w:r>
      <w:proofErr w:type="spellStart"/>
      <w:r>
        <w:rPr>
          <w:sz w:val="22"/>
          <w:szCs w:val="22"/>
        </w:rPr>
        <w:t>Smiles</w:t>
      </w:r>
      <w:proofErr w:type="spellEnd"/>
      <w:r>
        <w:rPr>
          <w:sz w:val="22"/>
          <w:szCs w:val="22"/>
        </w:rPr>
        <w:t xml:space="preserve"> está diseñado para ofrecer comodidad, diversión y momentos especiales para grandes y pequeños.</w:t>
      </w:r>
    </w:p>
    <w:p w14:paraId="232CB941" w14:textId="77777777" w:rsidR="00C64ACE" w:rsidRDefault="00000000">
      <w:pPr>
        <w:spacing w:before="240" w:after="240"/>
        <w:jc w:val="both"/>
        <w:rPr>
          <w:sz w:val="22"/>
          <w:szCs w:val="22"/>
        </w:rPr>
      </w:pPr>
      <w:r>
        <w:rPr>
          <w:rFonts w:ascii="Roboto" w:eastAsia="Roboto" w:hAnsi="Roboto" w:cs="Roboto"/>
          <w:color w:val="444746"/>
          <w:sz w:val="21"/>
          <w:szCs w:val="21"/>
          <w:highlight w:val="white"/>
        </w:rPr>
        <w:t>La estancia es en suites de una habitación, ideal para dos adultos y dos niños. Cada una incluye cocineta, área de descanso, dos baños (uno con jacuzzi) y terraza privada amueblada, pensada para brindar el máximo confort.</w:t>
      </w:r>
    </w:p>
    <w:p w14:paraId="05CBBF32" w14:textId="77777777" w:rsidR="00C64ACE" w:rsidRDefault="00000000">
      <w:pPr>
        <w:spacing w:before="240" w:after="240"/>
        <w:jc w:val="both"/>
        <w:rPr>
          <w:rFonts w:ascii="Arial" w:eastAsia="Arial" w:hAnsi="Arial" w:cs="Arial"/>
          <w:sz w:val="22"/>
          <w:szCs w:val="22"/>
        </w:rPr>
      </w:pPr>
      <w:r>
        <w:rPr>
          <w:sz w:val="22"/>
          <w:szCs w:val="22"/>
        </w:rPr>
        <w:t>Detalles del paquete:</w:t>
      </w:r>
    </w:p>
    <w:p w14:paraId="747286B3" w14:textId="77777777" w:rsidR="00C64ACE" w:rsidRDefault="00000000">
      <w:pPr>
        <w:numPr>
          <w:ilvl w:val="0"/>
          <w:numId w:val="1"/>
        </w:numPr>
        <w:pBdr>
          <w:top w:val="nil"/>
          <w:left w:val="nil"/>
          <w:bottom w:val="nil"/>
          <w:right w:val="nil"/>
          <w:between w:val="nil"/>
        </w:pBdr>
        <w:spacing w:before="240" w:after="0"/>
        <w:jc w:val="both"/>
        <w:rPr>
          <w:rFonts w:ascii="Arial" w:eastAsia="Arial" w:hAnsi="Arial" w:cs="Arial"/>
          <w:color w:val="000000"/>
          <w:sz w:val="22"/>
          <w:szCs w:val="22"/>
        </w:rPr>
      </w:pPr>
      <w:r>
        <w:rPr>
          <w:color w:val="000000"/>
          <w:sz w:val="22"/>
          <w:szCs w:val="22"/>
        </w:rPr>
        <w:t>Periodo de reserva: del 20 de marzo al 30 de junio</w:t>
      </w:r>
    </w:p>
    <w:p w14:paraId="68A6814D" w14:textId="2887DA59" w:rsidR="00C64ACE" w:rsidRDefault="00000000">
      <w:pPr>
        <w:numPr>
          <w:ilvl w:val="0"/>
          <w:numId w:val="1"/>
        </w:numPr>
        <w:pBdr>
          <w:top w:val="nil"/>
          <w:left w:val="nil"/>
          <w:bottom w:val="nil"/>
          <w:right w:val="nil"/>
          <w:between w:val="nil"/>
        </w:pBdr>
        <w:spacing w:after="0"/>
        <w:jc w:val="both"/>
        <w:rPr>
          <w:rFonts w:ascii="Arial" w:eastAsia="Arial" w:hAnsi="Arial" w:cs="Arial"/>
          <w:color w:val="000000"/>
          <w:sz w:val="22"/>
          <w:szCs w:val="22"/>
        </w:rPr>
      </w:pPr>
      <w:r>
        <w:rPr>
          <w:color w:val="000000"/>
          <w:sz w:val="22"/>
          <w:szCs w:val="22"/>
        </w:rPr>
        <w:t xml:space="preserve">Periodo de estancia: del </w:t>
      </w:r>
      <w:r w:rsidR="00BA1CA8">
        <w:rPr>
          <w:color w:val="000000"/>
          <w:sz w:val="22"/>
          <w:szCs w:val="22"/>
        </w:rPr>
        <w:t>6</w:t>
      </w:r>
      <w:r>
        <w:rPr>
          <w:color w:val="000000"/>
          <w:sz w:val="22"/>
          <w:szCs w:val="22"/>
        </w:rPr>
        <w:t xml:space="preserve"> de junio al 18 de agosto</w:t>
      </w:r>
    </w:p>
    <w:p w14:paraId="56BB65FA" w14:textId="77777777" w:rsidR="00C64ACE" w:rsidRDefault="00000000">
      <w:pPr>
        <w:numPr>
          <w:ilvl w:val="0"/>
          <w:numId w:val="1"/>
        </w:numPr>
        <w:pBdr>
          <w:top w:val="nil"/>
          <w:left w:val="nil"/>
          <w:bottom w:val="nil"/>
          <w:right w:val="nil"/>
          <w:between w:val="nil"/>
        </w:pBdr>
        <w:spacing w:after="0"/>
        <w:jc w:val="both"/>
        <w:rPr>
          <w:rFonts w:ascii="Arial" w:eastAsia="Arial" w:hAnsi="Arial" w:cs="Arial"/>
          <w:color w:val="000000"/>
          <w:sz w:val="22"/>
          <w:szCs w:val="22"/>
        </w:rPr>
      </w:pPr>
      <w:r>
        <w:rPr>
          <w:color w:val="000000"/>
          <w:sz w:val="22"/>
          <w:szCs w:val="22"/>
        </w:rPr>
        <w:t>Estancia mínima: 5 noches</w:t>
      </w:r>
    </w:p>
    <w:p w14:paraId="6E43FD16" w14:textId="77777777" w:rsidR="00C64ACE" w:rsidRDefault="00000000">
      <w:pPr>
        <w:numPr>
          <w:ilvl w:val="0"/>
          <w:numId w:val="1"/>
        </w:numPr>
        <w:pBdr>
          <w:top w:val="nil"/>
          <w:left w:val="nil"/>
          <w:bottom w:val="nil"/>
          <w:right w:val="nil"/>
          <w:between w:val="nil"/>
        </w:pBdr>
        <w:spacing w:after="240"/>
        <w:jc w:val="both"/>
        <w:rPr>
          <w:rFonts w:ascii="Arial" w:eastAsia="Arial" w:hAnsi="Arial" w:cs="Arial"/>
          <w:color w:val="000000"/>
          <w:sz w:val="22"/>
          <w:szCs w:val="22"/>
        </w:rPr>
      </w:pPr>
      <w:r>
        <w:rPr>
          <w:color w:val="000000"/>
          <w:sz w:val="22"/>
          <w:szCs w:val="22"/>
        </w:rPr>
        <w:t>Tarifa: $999 USD por noche, más impuestos</w:t>
      </w:r>
    </w:p>
    <w:p w14:paraId="415129F5" w14:textId="77777777" w:rsidR="00C64ACE" w:rsidRDefault="00000000">
      <w:pPr>
        <w:spacing w:before="240" w:after="240"/>
        <w:jc w:val="both"/>
        <w:rPr>
          <w:rFonts w:ascii="Arial" w:eastAsia="Arial" w:hAnsi="Arial" w:cs="Arial"/>
          <w:sz w:val="22"/>
          <w:szCs w:val="22"/>
        </w:rPr>
      </w:pPr>
      <w:r>
        <w:rPr>
          <w:sz w:val="22"/>
          <w:szCs w:val="22"/>
        </w:rPr>
        <w:lastRenderedPageBreak/>
        <w:t>Además, el paquete incluye un campamento de verano de tres días para niños, válido para dos niños de entre 5 y 12 años (opcional para cuatro niños con costo adicional). Este campamento ofrece una experiencia divertida y segura, con actividades, comidas, playera, botella de agua, mochila y gorra o visera para cada niño.</w:t>
      </w:r>
    </w:p>
    <w:p w14:paraId="61C3644F" w14:textId="77777777" w:rsidR="00C64ACE" w:rsidRDefault="00000000">
      <w:pPr>
        <w:spacing w:before="240" w:after="240"/>
        <w:jc w:val="both"/>
      </w:pPr>
      <w:r>
        <w:rPr>
          <w:rFonts w:ascii="Arial" w:eastAsia="Arial" w:hAnsi="Arial" w:cs="Arial"/>
          <w:sz w:val="22"/>
          <w:szCs w:val="22"/>
        </w:rPr>
        <w:t xml:space="preserve">Para programar unas vacaciones de lujo en </w:t>
      </w:r>
      <w:proofErr w:type="spellStart"/>
      <w:r>
        <w:rPr>
          <w:rFonts w:ascii="Arial" w:eastAsia="Arial" w:hAnsi="Arial" w:cs="Arial"/>
          <w:sz w:val="22"/>
          <w:szCs w:val="22"/>
        </w:rPr>
        <w:t>VidantaWorld</w:t>
      </w:r>
      <w:proofErr w:type="spellEnd"/>
      <w:r>
        <w:rPr>
          <w:rFonts w:ascii="Arial" w:eastAsia="Arial" w:hAnsi="Arial" w:cs="Arial"/>
          <w:sz w:val="22"/>
          <w:szCs w:val="22"/>
        </w:rPr>
        <w:t xml:space="preserve"> y explorar experiencias extraordinarias, visita </w:t>
      </w:r>
      <w:hyperlink r:id="rId8">
        <w:r w:rsidR="00C64ACE">
          <w:rPr>
            <w:rFonts w:ascii="Arial" w:eastAsia="Arial" w:hAnsi="Arial" w:cs="Arial"/>
            <w:b/>
            <w:color w:val="467886"/>
            <w:sz w:val="22"/>
            <w:szCs w:val="22"/>
            <w:u w:val="single"/>
          </w:rPr>
          <w:t>vidantaworld.com</w:t>
        </w:r>
      </w:hyperlink>
      <w:r>
        <w:rPr>
          <w:rFonts w:ascii="Arial" w:eastAsia="Arial" w:hAnsi="Arial" w:cs="Arial"/>
          <w:sz w:val="22"/>
          <w:szCs w:val="22"/>
        </w:rPr>
        <w:t xml:space="preserve"> o llama al Centro de Atención a Clientes de </w:t>
      </w:r>
      <w:proofErr w:type="spellStart"/>
      <w:r>
        <w:rPr>
          <w:rFonts w:ascii="Arial" w:eastAsia="Arial" w:hAnsi="Arial" w:cs="Arial"/>
          <w:sz w:val="22"/>
          <w:szCs w:val="22"/>
        </w:rPr>
        <w:t>VidantaWorld</w:t>
      </w:r>
      <w:proofErr w:type="spellEnd"/>
      <w:r>
        <w:rPr>
          <w:rFonts w:ascii="Arial" w:eastAsia="Arial" w:hAnsi="Arial" w:cs="Arial"/>
          <w:sz w:val="22"/>
          <w:szCs w:val="22"/>
        </w:rPr>
        <w:t xml:space="preserve"> al </w:t>
      </w:r>
      <w:r>
        <w:rPr>
          <w:rFonts w:ascii="Arial" w:eastAsia="Arial" w:hAnsi="Arial" w:cs="Arial"/>
          <w:b/>
          <w:sz w:val="22"/>
          <w:szCs w:val="22"/>
        </w:rPr>
        <w:t>800-718-8409</w:t>
      </w:r>
      <w:r>
        <w:rPr>
          <w:rFonts w:ascii="Arial" w:eastAsia="Arial" w:hAnsi="Arial" w:cs="Arial"/>
          <w:sz w:val="22"/>
          <w:szCs w:val="22"/>
        </w:rPr>
        <w:t>.</w:t>
      </w:r>
    </w:p>
    <w:p w14:paraId="1FEC0F68" w14:textId="77777777" w:rsidR="00C64ACE" w:rsidRDefault="00000000">
      <w:pPr>
        <w:spacing w:before="240" w:after="240"/>
        <w:jc w:val="both"/>
      </w:pPr>
      <w:r>
        <w:rPr>
          <w:rFonts w:ascii="Arial" w:eastAsia="Arial" w:hAnsi="Arial" w:cs="Arial"/>
          <w:sz w:val="22"/>
          <w:szCs w:val="22"/>
        </w:rPr>
        <w:t xml:space="preserve">Para más información sobre el </w:t>
      </w:r>
      <w:r>
        <w:rPr>
          <w:rFonts w:ascii="Arial" w:eastAsia="Arial" w:hAnsi="Arial" w:cs="Arial"/>
          <w:b/>
          <w:sz w:val="22"/>
          <w:szCs w:val="22"/>
        </w:rPr>
        <w:t>campamento de verano</w:t>
      </w:r>
      <w:r>
        <w:rPr>
          <w:rFonts w:ascii="Arial" w:eastAsia="Arial" w:hAnsi="Arial" w:cs="Arial"/>
          <w:sz w:val="22"/>
          <w:szCs w:val="22"/>
        </w:rPr>
        <w:t xml:space="preserve">, visita directamente: </w:t>
      </w:r>
      <w:hyperlink r:id="rId9">
        <w:r w:rsidR="00C64ACE">
          <w:rPr>
            <w:rFonts w:ascii="Arial" w:eastAsia="Arial" w:hAnsi="Arial" w:cs="Arial"/>
            <w:b/>
            <w:color w:val="467886"/>
            <w:sz w:val="22"/>
            <w:szCs w:val="22"/>
            <w:u w:val="single"/>
          </w:rPr>
          <w:t>vidantaworld.com/es/</w:t>
        </w:r>
        <w:proofErr w:type="spellStart"/>
        <w:r w:rsidR="00C64ACE">
          <w:rPr>
            <w:rFonts w:ascii="Arial" w:eastAsia="Arial" w:hAnsi="Arial" w:cs="Arial"/>
            <w:b/>
            <w:color w:val="467886"/>
            <w:sz w:val="22"/>
            <w:szCs w:val="22"/>
            <w:u w:val="single"/>
          </w:rPr>
          <w:t>summercamp</w:t>
        </w:r>
        <w:proofErr w:type="spellEnd"/>
      </w:hyperlink>
      <w:r>
        <w:rPr>
          <w:rFonts w:ascii="Arial" w:eastAsia="Arial" w:hAnsi="Arial" w:cs="Arial"/>
          <w:sz w:val="22"/>
          <w:szCs w:val="22"/>
        </w:rPr>
        <w:t>.</w:t>
      </w:r>
    </w:p>
    <w:p w14:paraId="3E17C10E" w14:textId="77777777" w:rsidR="00C64ACE" w:rsidRDefault="00000000">
      <w:pPr>
        <w:spacing w:before="240" w:after="240"/>
        <w:jc w:val="both"/>
      </w:pPr>
      <w:r>
        <w:rPr>
          <w:rFonts w:ascii="Arial" w:eastAsia="Arial" w:hAnsi="Arial" w:cs="Arial"/>
          <w:sz w:val="22"/>
          <w:szCs w:val="22"/>
        </w:rPr>
        <w:t xml:space="preserve">Sigue descubriendo nuevas experiencias y ofertas exclusivas en nuestras redes sociales: </w:t>
      </w:r>
      <w:r>
        <w:rPr>
          <w:rFonts w:ascii="Arial" w:eastAsia="Arial" w:hAnsi="Arial" w:cs="Arial"/>
          <w:b/>
          <w:sz w:val="22"/>
          <w:szCs w:val="22"/>
        </w:rPr>
        <w:t>@VidantaWorld</w:t>
      </w:r>
      <w:r>
        <w:rPr>
          <w:rFonts w:ascii="Arial" w:eastAsia="Arial" w:hAnsi="Arial" w:cs="Arial"/>
          <w:sz w:val="22"/>
          <w:szCs w:val="22"/>
        </w:rPr>
        <w:t>.</w:t>
      </w:r>
    </w:p>
    <w:p w14:paraId="3055F95F" w14:textId="77777777" w:rsidR="00C64ACE" w:rsidRDefault="00000000">
      <w:pPr>
        <w:spacing w:before="240" w:after="240" w:line="278" w:lineRule="auto"/>
        <w:jc w:val="center"/>
      </w:pPr>
      <w:r>
        <w:t>###</w:t>
      </w:r>
    </w:p>
    <w:p w14:paraId="6D4C8FB2" w14:textId="77777777" w:rsidR="00C64ACE" w:rsidRDefault="00000000">
      <w:pPr>
        <w:spacing w:before="240" w:after="240" w:line="276" w:lineRule="auto"/>
        <w:jc w:val="both"/>
        <w:rPr>
          <w:rFonts w:ascii="Arial" w:eastAsia="Arial" w:hAnsi="Arial" w:cs="Arial"/>
          <w:b/>
          <w:sz w:val="16"/>
          <w:szCs w:val="16"/>
        </w:rPr>
      </w:pPr>
      <w:r>
        <w:rPr>
          <w:rFonts w:ascii="Arial" w:eastAsia="Arial" w:hAnsi="Arial" w:cs="Arial"/>
          <w:b/>
          <w:sz w:val="16"/>
          <w:szCs w:val="16"/>
        </w:rPr>
        <w:t xml:space="preserve">Acerca de Grupo </w:t>
      </w:r>
      <w:proofErr w:type="spellStart"/>
      <w:r>
        <w:rPr>
          <w:rFonts w:ascii="Arial" w:eastAsia="Arial" w:hAnsi="Arial" w:cs="Arial"/>
          <w:b/>
          <w:sz w:val="16"/>
          <w:szCs w:val="16"/>
        </w:rPr>
        <w:t>Vidanta</w:t>
      </w:r>
      <w:proofErr w:type="spellEnd"/>
    </w:p>
    <w:p w14:paraId="2D3185DE" w14:textId="77777777" w:rsidR="00C64ACE" w:rsidRDefault="00000000">
      <w:pPr>
        <w:spacing w:before="240" w:after="240" w:line="276" w:lineRule="auto"/>
        <w:jc w:val="both"/>
        <w:rPr>
          <w:rFonts w:ascii="Arial" w:eastAsia="Arial" w:hAnsi="Arial" w:cs="Arial"/>
          <w:sz w:val="16"/>
          <w:szCs w:val="16"/>
        </w:rPr>
      </w:pPr>
      <w:r>
        <w:rPr>
          <w:rFonts w:ascii="Arial" w:eastAsia="Arial" w:hAnsi="Arial" w:cs="Arial"/>
          <w:sz w:val="16"/>
          <w:szCs w:val="16"/>
        </w:rPr>
        <w:t xml:space="preserve">Fundado en 1974 por Daniel Chávez Morán, Grupo </w:t>
      </w:r>
      <w:proofErr w:type="spellStart"/>
      <w:r>
        <w:rPr>
          <w:rFonts w:ascii="Arial" w:eastAsia="Arial" w:hAnsi="Arial" w:cs="Arial"/>
          <w:sz w:val="16"/>
          <w:szCs w:val="16"/>
        </w:rPr>
        <w:t>Vidanta</w:t>
      </w:r>
      <w:proofErr w:type="spellEnd"/>
      <w:r>
        <w:rPr>
          <w:rFonts w:ascii="Arial" w:eastAsia="Arial" w:hAnsi="Arial" w:cs="Arial"/>
          <w:sz w:val="16"/>
          <w:szCs w:val="16"/>
        </w:rPr>
        <w:t xml:space="preserve"> es el desarrollador integral de servicios turísticos más importante de México y América Latina, especializado en la construcción y operación de destinos vacacionales de lujo, marcas de hoteles resort de lujo, bienes raíces, campos de golf, clubes de playa de lujo, </w:t>
      </w:r>
      <w:proofErr w:type="spellStart"/>
      <w:r>
        <w:rPr>
          <w:rFonts w:ascii="Arial" w:eastAsia="Arial" w:hAnsi="Arial" w:cs="Arial"/>
          <w:sz w:val="16"/>
          <w:szCs w:val="16"/>
        </w:rPr>
        <w:t>megayates</w:t>
      </w:r>
      <w:proofErr w:type="spellEnd"/>
      <w:r>
        <w:rPr>
          <w:rFonts w:ascii="Arial" w:eastAsia="Arial" w:hAnsi="Arial" w:cs="Arial"/>
          <w:sz w:val="16"/>
          <w:szCs w:val="16"/>
        </w:rPr>
        <w:t xml:space="preserve">, parques temáticos de lujo, experiencias innovadoras y espectaculares centros de entretenimiento en México. El enfoque visionario de la empresa para el desarrollo de destinos de playa de lujo hace realidad las vacaciones de ensueño en los lugares más codiciados de la costa de México, Nuevo Nayarit-Vallarta, Riviera Maya, Los Cabos, Acapulco, Puerto Peñasco, Puerto Vallarta, Mazatlán, y East Cape. Su portafolio de marcas y experiencia de clase mundial incluye hoteles resort como </w:t>
      </w:r>
      <w:proofErr w:type="spellStart"/>
      <w:r>
        <w:rPr>
          <w:rFonts w:ascii="Arial" w:eastAsia="Arial" w:hAnsi="Arial" w:cs="Arial"/>
          <w:sz w:val="16"/>
          <w:szCs w:val="16"/>
        </w:rPr>
        <w:t>The</w:t>
      </w:r>
      <w:proofErr w:type="spellEnd"/>
      <w:r>
        <w:rPr>
          <w:rFonts w:ascii="Arial" w:eastAsia="Arial" w:hAnsi="Arial" w:cs="Arial"/>
          <w:sz w:val="16"/>
          <w:szCs w:val="16"/>
        </w:rPr>
        <w:t xml:space="preserve"> </w:t>
      </w:r>
      <w:proofErr w:type="spellStart"/>
      <w:r>
        <w:rPr>
          <w:rFonts w:ascii="Arial" w:eastAsia="Arial" w:hAnsi="Arial" w:cs="Arial"/>
          <w:sz w:val="16"/>
          <w:szCs w:val="16"/>
        </w:rPr>
        <w:t>Estates</w:t>
      </w:r>
      <w:proofErr w:type="spellEnd"/>
      <w:r>
        <w:rPr>
          <w:rFonts w:ascii="Arial" w:eastAsia="Arial" w:hAnsi="Arial" w:cs="Arial"/>
          <w:sz w:val="16"/>
          <w:szCs w:val="16"/>
        </w:rPr>
        <w:t xml:space="preserve">, Grand </w:t>
      </w:r>
      <w:proofErr w:type="spellStart"/>
      <w:r>
        <w:rPr>
          <w:rFonts w:ascii="Arial" w:eastAsia="Arial" w:hAnsi="Arial" w:cs="Arial"/>
          <w:sz w:val="16"/>
          <w:szCs w:val="16"/>
        </w:rPr>
        <w:t>Luxxe</w:t>
      </w:r>
      <w:proofErr w:type="spellEnd"/>
      <w:r>
        <w:rPr>
          <w:rFonts w:ascii="Arial" w:eastAsia="Arial" w:hAnsi="Arial" w:cs="Arial"/>
          <w:sz w:val="16"/>
          <w:szCs w:val="16"/>
        </w:rPr>
        <w:t xml:space="preserve"> galardonado con cinco diamantes de la AAA, </w:t>
      </w:r>
      <w:proofErr w:type="spellStart"/>
      <w:r>
        <w:rPr>
          <w:rFonts w:ascii="Arial" w:eastAsia="Arial" w:hAnsi="Arial" w:cs="Arial"/>
          <w:sz w:val="16"/>
          <w:szCs w:val="16"/>
        </w:rPr>
        <w:t>Kingdom</w:t>
      </w:r>
      <w:proofErr w:type="spellEnd"/>
      <w:r>
        <w:rPr>
          <w:rFonts w:ascii="Arial" w:eastAsia="Arial" w:hAnsi="Arial" w:cs="Arial"/>
          <w:sz w:val="16"/>
          <w:szCs w:val="16"/>
        </w:rPr>
        <w:t xml:space="preserve"> </w:t>
      </w:r>
      <w:proofErr w:type="spellStart"/>
      <w:r>
        <w:rPr>
          <w:rFonts w:ascii="Arial" w:eastAsia="Arial" w:hAnsi="Arial" w:cs="Arial"/>
          <w:sz w:val="16"/>
          <w:szCs w:val="16"/>
        </w:rPr>
        <w:t>of</w:t>
      </w:r>
      <w:proofErr w:type="spellEnd"/>
      <w:r>
        <w:rPr>
          <w:rFonts w:ascii="Arial" w:eastAsia="Arial" w:hAnsi="Arial" w:cs="Arial"/>
          <w:sz w:val="16"/>
          <w:szCs w:val="16"/>
        </w:rPr>
        <w:t xml:space="preserve"> </w:t>
      </w:r>
      <w:proofErr w:type="spellStart"/>
      <w:r>
        <w:rPr>
          <w:rFonts w:ascii="Arial" w:eastAsia="Arial" w:hAnsi="Arial" w:cs="Arial"/>
          <w:sz w:val="16"/>
          <w:szCs w:val="16"/>
        </w:rPr>
        <w:t>the</w:t>
      </w:r>
      <w:proofErr w:type="spellEnd"/>
      <w:r>
        <w:rPr>
          <w:rFonts w:ascii="Arial" w:eastAsia="Arial" w:hAnsi="Arial" w:cs="Arial"/>
          <w:sz w:val="16"/>
          <w:szCs w:val="16"/>
        </w:rPr>
        <w:t xml:space="preserve"> </w:t>
      </w:r>
      <w:proofErr w:type="spellStart"/>
      <w:r>
        <w:rPr>
          <w:rFonts w:ascii="Arial" w:eastAsia="Arial" w:hAnsi="Arial" w:cs="Arial"/>
          <w:sz w:val="16"/>
          <w:szCs w:val="16"/>
        </w:rPr>
        <w:t>Sun</w:t>
      </w:r>
      <w:proofErr w:type="spellEnd"/>
      <w:r>
        <w:rPr>
          <w:rFonts w:ascii="Arial" w:eastAsia="Arial" w:hAnsi="Arial" w:cs="Arial"/>
          <w:sz w:val="16"/>
          <w:szCs w:val="16"/>
        </w:rPr>
        <w:t xml:space="preserve">, </w:t>
      </w:r>
      <w:proofErr w:type="spellStart"/>
      <w:r>
        <w:rPr>
          <w:rFonts w:ascii="Arial" w:eastAsia="Arial" w:hAnsi="Arial" w:cs="Arial"/>
          <w:sz w:val="16"/>
          <w:szCs w:val="16"/>
        </w:rPr>
        <w:t>The</w:t>
      </w:r>
      <w:proofErr w:type="spellEnd"/>
      <w:r>
        <w:rPr>
          <w:rFonts w:ascii="Arial" w:eastAsia="Arial" w:hAnsi="Arial" w:cs="Arial"/>
          <w:sz w:val="16"/>
          <w:szCs w:val="16"/>
        </w:rPr>
        <w:t xml:space="preserve"> Grand </w:t>
      </w:r>
      <w:proofErr w:type="spellStart"/>
      <w:r>
        <w:rPr>
          <w:rFonts w:ascii="Arial" w:eastAsia="Arial" w:hAnsi="Arial" w:cs="Arial"/>
          <w:sz w:val="16"/>
          <w:szCs w:val="16"/>
        </w:rPr>
        <w:t>Bliss</w:t>
      </w:r>
      <w:proofErr w:type="spellEnd"/>
      <w:r>
        <w:rPr>
          <w:rFonts w:ascii="Arial" w:eastAsia="Arial" w:hAnsi="Arial" w:cs="Arial"/>
          <w:sz w:val="16"/>
          <w:szCs w:val="16"/>
        </w:rPr>
        <w:t xml:space="preserve">, </w:t>
      </w:r>
      <w:proofErr w:type="spellStart"/>
      <w:r>
        <w:rPr>
          <w:rFonts w:ascii="Arial" w:eastAsia="Arial" w:hAnsi="Arial" w:cs="Arial"/>
          <w:sz w:val="16"/>
          <w:szCs w:val="16"/>
        </w:rPr>
        <w:t>The</w:t>
      </w:r>
      <w:proofErr w:type="spellEnd"/>
      <w:r>
        <w:rPr>
          <w:rFonts w:ascii="Arial" w:eastAsia="Arial" w:hAnsi="Arial" w:cs="Arial"/>
          <w:sz w:val="16"/>
          <w:szCs w:val="16"/>
        </w:rPr>
        <w:t xml:space="preserve"> Grand Mayan, </w:t>
      </w:r>
      <w:proofErr w:type="spellStart"/>
      <w:r>
        <w:rPr>
          <w:rFonts w:ascii="Arial" w:eastAsia="Arial" w:hAnsi="Arial" w:cs="Arial"/>
          <w:sz w:val="16"/>
          <w:szCs w:val="16"/>
        </w:rPr>
        <w:t>Celebrate</w:t>
      </w:r>
      <w:proofErr w:type="spellEnd"/>
      <w:r>
        <w:rPr>
          <w:rFonts w:ascii="Arial" w:eastAsia="Arial" w:hAnsi="Arial" w:cs="Arial"/>
          <w:sz w:val="16"/>
          <w:szCs w:val="16"/>
        </w:rPr>
        <w:t xml:space="preserve"> Park, </w:t>
      </w:r>
      <w:proofErr w:type="spellStart"/>
      <w:r>
        <w:rPr>
          <w:rFonts w:ascii="Arial" w:eastAsia="Arial" w:hAnsi="Arial" w:cs="Arial"/>
          <w:sz w:val="16"/>
          <w:szCs w:val="16"/>
        </w:rPr>
        <w:t>The</w:t>
      </w:r>
      <w:proofErr w:type="spellEnd"/>
      <w:r>
        <w:rPr>
          <w:rFonts w:ascii="Arial" w:eastAsia="Arial" w:hAnsi="Arial" w:cs="Arial"/>
          <w:sz w:val="16"/>
          <w:szCs w:val="16"/>
        </w:rPr>
        <w:t xml:space="preserve"> </w:t>
      </w:r>
      <w:proofErr w:type="spellStart"/>
      <w:r>
        <w:rPr>
          <w:rFonts w:ascii="Arial" w:eastAsia="Arial" w:hAnsi="Arial" w:cs="Arial"/>
          <w:sz w:val="16"/>
          <w:szCs w:val="16"/>
        </w:rPr>
        <w:t>Bliss</w:t>
      </w:r>
      <w:proofErr w:type="spellEnd"/>
      <w:r>
        <w:rPr>
          <w:rFonts w:ascii="Arial" w:eastAsia="Arial" w:hAnsi="Arial" w:cs="Arial"/>
          <w:sz w:val="16"/>
          <w:szCs w:val="16"/>
        </w:rPr>
        <w:t xml:space="preserve">, Mayan Palace, Sea Garden, entre otros; y la </w:t>
      </w:r>
      <w:proofErr w:type="spellStart"/>
      <w:r>
        <w:rPr>
          <w:rFonts w:ascii="Arial" w:eastAsia="Arial" w:hAnsi="Arial" w:cs="Arial"/>
          <w:sz w:val="16"/>
          <w:szCs w:val="16"/>
        </w:rPr>
        <w:t>SkyDream</w:t>
      </w:r>
      <w:proofErr w:type="spellEnd"/>
      <w:r>
        <w:rPr>
          <w:rFonts w:ascii="Arial" w:eastAsia="Arial" w:hAnsi="Arial" w:cs="Arial"/>
          <w:sz w:val="16"/>
          <w:szCs w:val="16"/>
        </w:rPr>
        <w:t xml:space="preserve"> Parks </w:t>
      </w:r>
      <w:proofErr w:type="spellStart"/>
      <w:r>
        <w:rPr>
          <w:rFonts w:ascii="Arial" w:eastAsia="Arial" w:hAnsi="Arial" w:cs="Arial"/>
          <w:sz w:val="16"/>
          <w:szCs w:val="16"/>
        </w:rPr>
        <w:t>Gondola</w:t>
      </w:r>
      <w:proofErr w:type="spellEnd"/>
      <w:r>
        <w:rPr>
          <w:rFonts w:ascii="Arial" w:eastAsia="Arial" w:hAnsi="Arial" w:cs="Arial"/>
          <w:sz w:val="16"/>
          <w:szCs w:val="16"/>
        </w:rPr>
        <w:t>, el primer teleférico del mundo en un resort de playa.</w:t>
      </w:r>
    </w:p>
    <w:p w14:paraId="5FE96632" w14:textId="77777777" w:rsidR="00C64ACE" w:rsidRDefault="00000000">
      <w:pPr>
        <w:spacing w:before="240" w:after="240" w:line="276" w:lineRule="auto"/>
        <w:jc w:val="both"/>
        <w:rPr>
          <w:rFonts w:ascii="Arial" w:eastAsia="Arial" w:hAnsi="Arial" w:cs="Arial"/>
          <w:sz w:val="16"/>
          <w:szCs w:val="16"/>
        </w:rPr>
      </w:pPr>
      <w:r>
        <w:rPr>
          <w:rFonts w:ascii="Arial" w:eastAsia="Arial" w:hAnsi="Arial" w:cs="Arial"/>
          <w:sz w:val="16"/>
          <w:szCs w:val="16"/>
        </w:rPr>
        <w:t xml:space="preserve">Grupo </w:t>
      </w:r>
      <w:proofErr w:type="spellStart"/>
      <w:r>
        <w:rPr>
          <w:rFonts w:ascii="Arial" w:eastAsia="Arial" w:hAnsi="Arial" w:cs="Arial"/>
          <w:sz w:val="16"/>
          <w:szCs w:val="16"/>
        </w:rPr>
        <w:t>Vidanta</w:t>
      </w:r>
      <w:proofErr w:type="spellEnd"/>
      <w:r>
        <w:rPr>
          <w:rFonts w:ascii="Arial" w:eastAsia="Arial" w:hAnsi="Arial" w:cs="Arial"/>
          <w:sz w:val="16"/>
          <w:szCs w:val="16"/>
        </w:rPr>
        <w:t xml:space="preserve"> también está expandiendo su enfoque innovador de vacaciones con </w:t>
      </w:r>
      <w:proofErr w:type="spellStart"/>
      <w:r>
        <w:rPr>
          <w:rFonts w:ascii="Arial" w:eastAsia="Arial" w:hAnsi="Arial" w:cs="Arial"/>
          <w:sz w:val="16"/>
          <w:szCs w:val="16"/>
        </w:rPr>
        <w:t>VidantaWorld</w:t>
      </w:r>
      <w:proofErr w:type="spellEnd"/>
      <w:r>
        <w:rPr>
          <w:rFonts w:ascii="Arial" w:eastAsia="Arial" w:hAnsi="Arial" w:cs="Arial"/>
          <w:sz w:val="16"/>
          <w:szCs w:val="16"/>
        </w:rPr>
        <w:t xml:space="preserve">. La compañía se enorgullece de presentar </w:t>
      </w:r>
      <w:proofErr w:type="spellStart"/>
      <w:r>
        <w:rPr>
          <w:rFonts w:ascii="Arial" w:eastAsia="Arial" w:hAnsi="Arial" w:cs="Arial"/>
          <w:sz w:val="16"/>
          <w:szCs w:val="16"/>
        </w:rPr>
        <w:t>VidantaWorld</w:t>
      </w:r>
      <w:proofErr w:type="spellEnd"/>
      <w:r>
        <w:rPr>
          <w:rFonts w:ascii="Arial" w:eastAsia="Arial" w:hAnsi="Arial" w:cs="Arial"/>
          <w:sz w:val="16"/>
          <w:szCs w:val="16"/>
        </w:rPr>
        <w:t xml:space="preserve"> Nuevo Vallarta y </w:t>
      </w:r>
      <w:proofErr w:type="spellStart"/>
      <w:r>
        <w:rPr>
          <w:rFonts w:ascii="Arial" w:eastAsia="Arial" w:hAnsi="Arial" w:cs="Arial"/>
          <w:sz w:val="16"/>
          <w:szCs w:val="16"/>
        </w:rPr>
        <w:t>VidantaWorld</w:t>
      </w:r>
      <w:proofErr w:type="spellEnd"/>
      <w:r>
        <w:rPr>
          <w:rFonts w:ascii="Arial" w:eastAsia="Arial" w:hAnsi="Arial" w:cs="Arial"/>
          <w:sz w:val="16"/>
          <w:szCs w:val="16"/>
        </w:rPr>
        <w:t xml:space="preserve"> Riviera Maya, los destinos de entretenimiento y lujo por excelencia. En estos destinos, los huéspedes pueden disfrutar de una variedad cada vez mayor de experiencias que van desde espectáculos inmersivos hasta parques temáticos innovadores y eventos únicos. Además, con </w:t>
      </w:r>
      <w:proofErr w:type="spellStart"/>
      <w:r>
        <w:rPr>
          <w:rFonts w:ascii="Arial" w:eastAsia="Arial" w:hAnsi="Arial" w:cs="Arial"/>
          <w:sz w:val="16"/>
          <w:szCs w:val="16"/>
        </w:rPr>
        <w:t>VidantaWorld’s</w:t>
      </w:r>
      <w:proofErr w:type="spellEnd"/>
      <w:r>
        <w:rPr>
          <w:rFonts w:ascii="Arial" w:eastAsia="Arial" w:hAnsi="Arial" w:cs="Arial"/>
          <w:sz w:val="16"/>
          <w:szCs w:val="16"/>
        </w:rPr>
        <w:t xml:space="preserve"> ELEGANT Ultra Mega Yacht, Grupo </w:t>
      </w:r>
      <w:proofErr w:type="spellStart"/>
      <w:r>
        <w:rPr>
          <w:rFonts w:ascii="Arial" w:eastAsia="Arial" w:hAnsi="Arial" w:cs="Arial"/>
          <w:sz w:val="16"/>
          <w:szCs w:val="16"/>
        </w:rPr>
        <w:t>Vidanta</w:t>
      </w:r>
      <w:proofErr w:type="spellEnd"/>
      <w:r>
        <w:rPr>
          <w:rFonts w:ascii="Arial" w:eastAsia="Arial" w:hAnsi="Arial" w:cs="Arial"/>
          <w:sz w:val="16"/>
          <w:szCs w:val="16"/>
        </w:rPr>
        <w:t xml:space="preserve"> expande su visión del lujo alrededor del mundo con una amplia gama de increíbles itinerarios 2025.Grupo </w:t>
      </w:r>
      <w:proofErr w:type="spellStart"/>
      <w:r>
        <w:rPr>
          <w:rFonts w:ascii="Arial" w:eastAsia="Arial" w:hAnsi="Arial" w:cs="Arial"/>
          <w:sz w:val="16"/>
          <w:szCs w:val="16"/>
        </w:rPr>
        <w:t>Vidanta</w:t>
      </w:r>
      <w:proofErr w:type="spellEnd"/>
      <w:r>
        <w:rPr>
          <w:rFonts w:ascii="Arial" w:eastAsia="Arial" w:hAnsi="Arial" w:cs="Arial"/>
          <w:sz w:val="16"/>
          <w:szCs w:val="16"/>
        </w:rPr>
        <w:t xml:space="preserve"> también continúa siendo pionero en asociaciones innovadoras, incluyendo colaboraciones como el </w:t>
      </w:r>
      <w:proofErr w:type="spellStart"/>
      <w:r>
        <w:rPr>
          <w:rFonts w:ascii="Arial" w:eastAsia="Arial" w:hAnsi="Arial" w:cs="Arial"/>
          <w:sz w:val="16"/>
          <w:szCs w:val="16"/>
        </w:rPr>
        <w:t>Cirque</w:t>
      </w:r>
      <w:proofErr w:type="spellEnd"/>
      <w:r>
        <w:rPr>
          <w:rFonts w:ascii="Arial" w:eastAsia="Arial" w:hAnsi="Arial" w:cs="Arial"/>
          <w:sz w:val="16"/>
          <w:szCs w:val="16"/>
        </w:rPr>
        <w:t xml:space="preserve"> du </w:t>
      </w:r>
      <w:proofErr w:type="spellStart"/>
      <w:r>
        <w:rPr>
          <w:rFonts w:ascii="Arial" w:eastAsia="Arial" w:hAnsi="Arial" w:cs="Arial"/>
          <w:sz w:val="16"/>
          <w:szCs w:val="16"/>
        </w:rPr>
        <w:t>Soleil</w:t>
      </w:r>
      <w:proofErr w:type="spellEnd"/>
      <w:r>
        <w:rPr>
          <w:rFonts w:ascii="Arial" w:eastAsia="Arial" w:hAnsi="Arial" w:cs="Arial"/>
          <w:sz w:val="16"/>
          <w:szCs w:val="16"/>
        </w:rPr>
        <w:t xml:space="preserve"> JOYÀ, un espectáculo permanente ubicado en </w:t>
      </w:r>
      <w:proofErr w:type="spellStart"/>
      <w:r>
        <w:rPr>
          <w:rFonts w:ascii="Arial" w:eastAsia="Arial" w:hAnsi="Arial" w:cs="Arial"/>
          <w:sz w:val="16"/>
          <w:szCs w:val="16"/>
        </w:rPr>
        <w:t>VidantaWorld</w:t>
      </w:r>
      <w:proofErr w:type="spellEnd"/>
      <w:r>
        <w:rPr>
          <w:rFonts w:ascii="Arial" w:eastAsia="Arial" w:hAnsi="Arial" w:cs="Arial"/>
          <w:sz w:val="16"/>
          <w:szCs w:val="16"/>
        </w:rPr>
        <w:t xml:space="preserve"> Riviera Maya. Además, Grupo </w:t>
      </w:r>
      <w:proofErr w:type="spellStart"/>
      <w:r>
        <w:rPr>
          <w:rFonts w:ascii="Arial" w:eastAsia="Arial" w:hAnsi="Arial" w:cs="Arial"/>
          <w:sz w:val="16"/>
          <w:szCs w:val="16"/>
        </w:rPr>
        <w:t>Vidanta</w:t>
      </w:r>
      <w:proofErr w:type="spellEnd"/>
      <w:r>
        <w:rPr>
          <w:rFonts w:ascii="Arial" w:eastAsia="Arial" w:hAnsi="Arial" w:cs="Arial"/>
          <w:sz w:val="16"/>
          <w:szCs w:val="16"/>
        </w:rPr>
        <w:t xml:space="preserve"> colabora continuamente con </w:t>
      </w:r>
      <w:proofErr w:type="spellStart"/>
      <w:r>
        <w:rPr>
          <w:rFonts w:ascii="Arial" w:eastAsia="Arial" w:hAnsi="Arial" w:cs="Arial"/>
          <w:sz w:val="16"/>
          <w:szCs w:val="16"/>
        </w:rPr>
        <w:t>Nicklaus</w:t>
      </w:r>
      <w:proofErr w:type="spellEnd"/>
      <w:r>
        <w:rPr>
          <w:rFonts w:ascii="Arial" w:eastAsia="Arial" w:hAnsi="Arial" w:cs="Arial"/>
          <w:sz w:val="16"/>
          <w:szCs w:val="16"/>
        </w:rPr>
        <w:t xml:space="preserve"> </w:t>
      </w:r>
      <w:proofErr w:type="spellStart"/>
      <w:r>
        <w:rPr>
          <w:rFonts w:ascii="Arial" w:eastAsia="Arial" w:hAnsi="Arial" w:cs="Arial"/>
          <w:sz w:val="16"/>
          <w:szCs w:val="16"/>
        </w:rPr>
        <w:t>Design</w:t>
      </w:r>
      <w:proofErr w:type="spellEnd"/>
      <w:r>
        <w:rPr>
          <w:rFonts w:ascii="Arial" w:eastAsia="Arial" w:hAnsi="Arial" w:cs="Arial"/>
          <w:sz w:val="16"/>
          <w:szCs w:val="16"/>
        </w:rPr>
        <w:t xml:space="preserve"> y Greg Norman Golf </w:t>
      </w:r>
      <w:proofErr w:type="spellStart"/>
      <w:r>
        <w:rPr>
          <w:rFonts w:ascii="Arial" w:eastAsia="Arial" w:hAnsi="Arial" w:cs="Arial"/>
          <w:sz w:val="16"/>
          <w:szCs w:val="16"/>
        </w:rPr>
        <w:t>Course</w:t>
      </w:r>
      <w:proofErr w:type="spellEnd"/>
      <w:r>
        <w:rPr>
          <w:rFonts w:ascii="Arial" w:eastAsia="Arial" w:hAnsi="Arial" w:cs="Arial"/>
          <w:sz w:val="16"/>
          <w:szCs w:val="16"/>
        </w:rPr>
        <w:t xml:space="preserve"> </w:t>
      </w:r>
      <w:proofErr w:type="spellStart"/>
      <w:r>
        <w:rPr>
          <w:rFonts w:ascii="Arial" w:eastAsia="Arial" w:hAnsi="Arial" w:cs="Arial"/>
          <w:sz w:val="16"/>
          <w:szCs w:val="16"/>
        </w:rPr>
        <w:t>Design</w:t>
      </w:r>
      <w:proofErr w:type="spellEnd"/>
      <w:r>
        <w:rPr>
          <w:rFonts w:ascii="Arial" w:eastAsia="Arial" w:hAnsi="Arial" w:cs="Arial"/>
          <w:sz w:val="16"/>
          <w:szCs w:val="16"/>
        </w:rPr>
        <w:t xml:space="preserve"> para desarrollar espectaculares campos de golf profesionales dentro de sus diferentes destinos. Desde el 2022, el galardonado Campo </w:t>
      </w:r>
      <w:proofErr w:type="spellStart"/>
      <w:r>
        <w:rPr>
          <w:rFonts w:ascii="Arial" w:eastAsia="Arial" w:hAnsi="Arial" w:cs="Arial"/>
          <w:sz w:val="16"/>
          <w:szCs w:val="16"/>
        </w:rPr>
        <w:t>Vidanta</w:t>
      </w:r>
      <w:proofErr w:type="spellEnd"/>
      <w:r>
        <w:rPr>
          <w:rFonts w:ascii="Arial" w:eastAsia="Arial" w:hAnsi="Arial" w:cs="Arial"/>
          <w:sz w:val="16"/>
          <w:szCs w:val="16"/>
        </w:rPr>
        <w:t xml:space="preserve"> Vallarta es anfitrión del PGA TOUR </w:t>
      </w:r>
      <w:proofErr w:type="spellStart"/>
      <w:r>
        <w:rPr>
          <w:rFonts w:ascii="Arial" w:eastAsia="Arial" w:hAnsi="Arial" w:cs="Arial"/>
          <w:sz w:val="16"/>
          <w:szCs w:val="16"/>
        </w:rPr>
        <w:t>Mexico</w:t>
      </w:r>
      <w:proofErr w:type="spellEnd"/>
      <w:r>
        <w:rPr>
          <w:rFonts w:ascii="Arial" w:eastAsia="Arial" w:hAnsi="Arial" w:cs="Arial"/>
          <w:sz w:val="16"/>
          <w:szCs w:val="16"/>
        </w:rPr>
        <w:t xml:space="preserve"> Open at </w:t>
      </w:r>
      <w:proofErr w:type="spellStart"/>
      <w:r>
        <w:rPr>
          <w:rFonts w:ascii="Arial" w:eastAsia="Arial" w:hAnsi="Arial" w:cs="Arial"/>
          <w:sz w:val="16"/>
          <w:szCs w:val="16"/>
        </w:rPr>
        <w:t>VidantaWorld</w:t>
      </w:r>
      <w:proofErr w:type="spellEnd"/>
      <w:r>
        <w:rPr>
          <w:rFonts w:ascii="Arial" w:eastAsia="Arial" w:hAnsi="Arial" w:cs="Arial"/>
          <w:sz w:val="16"/>
          <w:szCs w:val="16"/>
        </w:rPr>
        <w:t xml:space="preserve"> en </w:t>
      </w:r>
      <w:proofErr w:type="spellStart"/>
      <w:r>
        <w:rPr>
          <w:rFonts w:ascii="Arial" w:eastAsia="Arial" w:hAnsi="Arial" w:cs="Arial"/>
          <w:sz w:val="16"/>
          <w:szCs w:val="16"/>
        </w:rPr>
        <w:t>VidantaWorld</w:t>
      </w:r>
      <w:proofErr w:type="spellEnd"/>
      <w:r>
        <w:rPr>
          <w:rFonts w:ascii="Arial" w:eastAsia="Arial" w:hAnsi="Arial" w:cs="Arial"/>
          <w:sz w:val="16"/>
          <w:szCs w:val="16"/>
        </w:rPr>
        <w:t xml:space="preserve"> Nuevo Vallarta.</w:t>
      </w:r>
    </w:p>
    <w:p w14:paraId="1802701F" w14:textId="77777777" w:rsidR="00C64ACE" w:rsidRDefault="00000000">
      <w:pPr>
        <w:spacing w:before="240" w:after="240" w:line="276" w:lineRule="auto"/>
        <w:jc w:val="both"/>
        <w:rPr>
          <w:rFonts w:ascii="Arial" w:eastAsia="Arial" w:hAnsi="Arial" w:cs="Arial"/>
          <w:sz w:val="16"/>
          <w:szCs w:val="16"/>
        </w:rPr>
      </w:pPr>
      <w:r>
        <w:rPr>
          <w:rFonts w:ascii="Arial" w:eastAsia="Arial" w:hAnsi="Arial" w:cs="Arial"/>
          <w:sz w:val="16"/>
          <w:szCs w:val="16"/>
        </w:rPr>
        <w:t xml:space="preserve">Catalogado por Great Place </w:t>
      </w:r>
      <w:proofErr w:type="spellStart"/>
      <w:r>
        <w:rPr>
          <w:rFonts w:ascii="Arial" w:eastAsia="Arial" w:hAnsi="Arial" w:cs="Arial"/>
          <w:sz w:val="16"/>
          <w:szCs w:val="16"/>
        </w:rPr>
        <w:t>to</w:t>
      </w:r>
      <w:proofErr w:type="spellEnd"/>
      <w:r>
        <w:rPr>
          <w:rFonts w:ascii="Arial" w:eastAsia="Arial" w:hAnsi="Arial" w:cs="Arial"/>
          <w:sz w:val="16"/>
          <w:szCs w:val="16"/>
        </w:rPr>
        <w:t xml:space="preserve"> </w:t>
      </w:r>
      <w:proofErr w:type="spellStart"/>
      <w:r>
        <w:rPr>
          <w:rFonts w:ascii="Arial" w:eastAsia="Arial" w:hAnsi="Arial" w:cs="Arial"/>
          <w:sz w:val="16"/>
          <w:szCs w:val="16"/>
        </w:rPr>
        <w:t>Work</w:t>
      </w:r>
      <w:proofErr w:type="spellEnd"/>
      <w:r>
        <w:rPr>
          <w:rFonts w:ascii="Arial" w:eastAsia="Arial" w:hAnsi="Arial" w:cs="Arial"/>
          <w:sz w:val="16"/>
          <w:szCs w:val="16"/>
        </w:rPr>
        <w:t xml:space="preserve"> como uno de los mejores empleadores en México, Grupo </w:t>
      </w:r>
      <w:proofErr w:type="spellStart"/>
      <w:r>
        <w:rPr>
          <w:rFonts w:ascii="Arial" w:eastAsia="Arial" w:hAnsi="Arial" w:cs="Arial"/>
          <w:sz w:val="16"/>
          <w:szCs w:val="16"/>
        </w:rPr>
        <w:t>Vidanta</w:t>
      </w:r>
      <w:proofErr w:type="spellEnd"/>
      <w:r>
        <w:rPr>
          <w:rFonts w:ascii="Arial" w:eastAsia="Arial" w:hAnsi="Arial" w:cs="Arial"/>
          <w:sz w:val="16"/>
          <w:szCs w:val="16"/>
        </w:rPr>
        <w:t xml:space="preserve"> mantiene un sólido compromiso con sus empleados y las comunidades donde opera a través de su continua misión de promover esfuerzos sociales y ambientales, como lo reconocen autoridades mundiales como </w:t>
      </w:r>
      <w:proofErr w:type="spellStart"/>
      <w:r>
        <w:rPr>
          <w:rFonts w:ascii="Arial" w:eastAsia="Arial" w:hAnsi="Arial" w:cs="Arial"/>
          <w:sz w:val="16"/>
          <w:szCs w:val="16"/>
        </w:rPr>
        <w:t>EarthCheck</w:t>
      </w:r>
      <w:proofErr w:type="spellEnd"/>
      <w:r>
        <w:rPr>
          <w:rFonts w:ascii="Arial" w:eastAsia="Arial" w:hAnsi="Arial" w:cs="Arial"/>
          <w:sz w:val="16"/>
          <w:szCs w:val="16"/>
        </w:rPr>
        <w:t xml:space="preserve">, y a través de sus fundaciones sin fines de lucro, la Fundación </w:t>
      </w:r>
      <w:proofErr w:type="spellStart"/>
      <w:r>
        <w:rPr>
          <w:rFonts w:ascii="Arial" w:eastAsia="Arial" w:hAnsi="Arial" w:cs="Arial"/>
          <w:sz w:val="16"/>
          <w:szCs w:val="16"/>
        </w:rPr>
        <w:t>Vidanta</w:t>
      </w:r>
      <w:proofErr w:type="spellEnd"/>
      <w:r>
        <w:rPr>
          <w:rFonts w:ascii="Arial" w:eastAsia="Arial" w:hAnsi="Arial" w:cs="Arial"/>
          <w:sz w:val="16"/>
          <w:szCs w:val="16"/>
        </w:rPr>
        <w:t xml:space="preserve"> y la Fundación Delia Morán </w:t>
      </w:r>
      <w:proofErr w:type="spellStart"/>
      <w:r>
        <w:rPr>
          <w:rFonts w:ascii="Arial" w:eastAsia="Arial" w:hAnsi="Arial" w:cs="Arial"/>
          <w:sz w:val="16"/>
          <w:szCs w:val="16"/>
        </w:rPr>
        <w:t>Vidanta</w:t>
      </w:r>
      <w:proofErr w:type="spellEnd"/>
      <w:r>
        <w:rPr>
          <w:rFonts w:ascii="Arial" w:eastAsia="Arial" w:hAnsi="Arial" w:cs="Arial"/>
          <w:sz w:val="16"/>
          <w:szCs w:val="16"/>
        </w:rPr>
        <w:t xml:space="preserve">. Visita </w:t>
      </w:r>
      <w:r>
        <w:rPr>
          <w:rFonts w:ascii="Arial" w:eastAsia="Arial" w:hAnsi="Arial" w:cs="Arial"/>
          <w:color w:val="467886"/>
          <w:sz w:val="16"/>
          <w:szCs w:val="16"/>
          <w:u w:val="single"/>
        </w:rPr>
        <w:t>www.GrupoVidanta.com</w:t>
      </w:r>
      <w:r>
        <w:rPr>
          <w:rFonts w:ascii="Arial" w:eastAsia="Arial" w:hAnsi="Arial" w:cs="Arial"/>
          <w:sz w:val="16"/>
          <w:szCs w:val="16"/>
        </w:rPr>
        <w:t xml:space="preserve"> o únete a la conversación en plataformas digitales con @VidantaWorld.</w:t>
      </w:r>
    </w:p>
    <w:p w14:paraId="30941494" w14:textId="77777777" w:rsidR="00C64ACE" w:rsidRDefault="00C64ACE">
      <w:pPr>
        <w:spacing w:before="240" w:after="240" w:line="276" w:lineRule="auto"/>
        <w:jc w:val="both"/>
        <w:rPr>
          <w:rFonts w:ascii="Arial" w:eastAsia="Arial" w:hAnsi="Arial" w:cs="Arial"/>
          <w:sz w:val="16"/>
          <w:szCs w:val="16"/>
        </w:rPr>
      </w:pPr>
    </w:p>
    <w:p w14:paraId="3BE637E6" w14:textId="77777777" w:rsidR="00C64ACE" w:rsidRDefault="00000000" w:rsidP="00640699">
      <w:pPr>
        <w:spacing w:after="0" w:line="278" w:lineRule="auto"/>
        <w:rPr>
          <w:rFonts w:ascii="Arial" w:eastAsia="Arial" w:hAnsi="Arial" w:cs="Arial"/>
          <w:color w:val="000000"/>
          <w:sz w:val="16"/>
          <w:szCs w:val="16"/>
        </w:rPr>
      </w:pPr>
      <w:r>
        <w:rPr>
          <w:rFonts w:ascii="Arial" w:eastAsia="Arial" w:hAnsi="Arial" w:cs="Arial"/>
          <w:b/>
          <w:color w:val="171717"/>
          <w:sz w:val="16"/>
          <w:szCs w:val="16"/>
        </w:rPr>
        <w:t>CONTACTO DE PRENSA</w:t>
      </w:r>
      <w:r>
        <w:br/>
      </w:r>
      <w:r>
        <w:rPr>
          <w:rFonts w:ascii="Arial" w:eastAsia="Arial" w:hAnsi="Arial" w:cs="Arial"/>
          <w:color w:val="000000"/>
          <w:sz w:val="16"/>
          <w:szCs w:val="16"/>
        </w:rPr>
        <w:t>Francisco Granados | PR Expert</w:t>
      </w:r>
    </w:p>
    <w:p w14:paraId="09FB4CFF" w14:textId="77777777" w:rsidR="00C64ACE" w:rsidRDefault="00C64ACE" w:rsidP="00640699">
      <w:pPr>
        <w:spacing w:after="0" w:line="278" w:lineRule="auto"/>
        <w:rPr>
          <w:rFonts w:ascii="Arial" w:eastAsia="Arial" w:hAnsi="Arial" w:cs="Arial"/>
          <w:sz w:val="16"/>
          <w:szCs w:val="16"/>
        </w:rPr>
      </w:pPr>
      <w:hyperlink r:id="rId10">
        <w:r>
          <w:rPr>
            <w:rFonts w:ascii="Arial" w:eastAsia="Arial" w:hAnsi="Arial" w:cs="Arial"/>
            <w:color w:val="467886"/>
            <w:sz w:val="16"/>
            <w:szCs w:val="16"/>
            <w:u w:val="single"/>
          </w:rPr>
          <w:t>francisco.granados@another.co</w:t>
        </w:r>
      </w:hyperlink>
    </w:p>
    <w:sectPr w:rsidR="00C64ACE">
      <w:headerReference w:type="default" r:id="rId11"/>
      <w:footerReference w:type="default" r:id="rId12"/>
      <w:pgSz w:w="11906" w:h="16838"/>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9B8A57" w14:textId="77777777" w:rsidR="00C92D2E" w:rsidRDefault="00C92D2E">
      <w:pPr>
        <w:spacing w:after="0" w:line="240" w:lineRule="auto"/>
      </w:pPr>
      <w:r>
        <w:separator/>
      </w:r>
    </w:p>
  </w:endnote>
  <w:endnote w:type="continuationSeparator" w:id="0">
    <w:p w14:paraId="04C2DD64" w14:textId="77777777" w:rsidR="00C92D2E" w:rsidRDefault="00C92D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D82EEB52-B279-7F42-ACF1-27FF1257E312}"/>
  </w:font>
  <w:font w:name="Courier New">
    <w:panose1 w:val="02070309020205020404"/>
    <w:charset w:val="00"/>
    <w:family w:val="modern"/>
    <w:pitch w:val="fixed"/>
    <w:sig w:usb0="E0002AFF" w:usb1="C0007843" w:usb2="00000009" w:usb3="00000000" w:csb0="000001FF" w:csb1="00000000"/>
    <w:embedRegular r:id="rId2" w:fontKey="{42B4808A-BC1E-6548-B87B-1A2A78374B27}"/>
  </w:font>
  <w:font w:name="Aptos">
    <w:panose1 w:val="020B0004020202020204"/>
    <w:charset w:val="00"/>
    <w:family w:val="swiss"/>
    <w:pitch w:val="variable"/>
    <w:sig w:usb0="20000287" w:usb1="00000003" w:usb2="00000000" w:usb3="00000000" w:csb0="0000019F" w:csb1="00000000"/>
    <w:embedRegular r:id="rId3" w:fontKey="{A4BF43C9-326B-E949-87F0-FCD669418680}"/>
    <w:embedBold r:id="rId4" w:fontKey="{75DCBFEA-584B-EB46-A799-5DF2EB7F2B86}"/>
  </w:font>
  <w:font w:name="Aptos Display">
    <w:panose1 w:val="020B0004020202020204"/>
    <w:charset w:val="00"/>
    <w:family w:val="swiss"/>
    <w:pitch w:val="variable"/>
    <w:sig w:usb0="20000287" w:usb1="00000003" w:usb2="00000000" w:usb3="00000000" w:csb0="0000019F" w:csb1="00000000"/>
    <w:embedRegular r:id="rId5" w:fontKey="{711FEABD-19D0-E449-A8E3-91A1C218AAA4}"/>
  </w:font>
  <w:font w:name="Times New Roman">
    <w:panose1 w:val="02020603050405020304"/>
    <w:charset w:val="00"/>
    <w:family w:val="roman"/>
    <w:pitch w:val="variable"/>
    <w:sig w:usb0="E0002EFF" w:usb1="C000785B" w:usb2="00000009" w:usb3="00000000" w:csb0="000001FF" w:csb1="00000000"/>
    <w:embedRegular r:id="rId6" w:fontKey="{5716F808-C355-B84E-B7BD-B3AD6866C34B}"/>
  </w:font>
  <w:font w:name="Georgia">
    <w:panose1 w:val="02040502050405020303"/>
    <w:charset w:val="00"/>
    <w:family w:val="roman"/>
    <w:pitch w:val="variable"/>
    <w:sig w:usb0="00000287" w:usb1="00000000" w:usb2="00000000" w:usb3="00000000" w:csb0="0000009F" w:csb1="00000000"/>
    <w:embedRegular r:id="rId7" w:fontKey="{3947674A-0094-BE4F-AE9F-D13B5236749D}"/>
    <w:embedItalic r:id="rId8" w:fontKey="{D3DE0F63-8269-5042-BFEC-A8E3DF17B265}"/>
  </w:font>
  <w:font w:name="Arial">
    <w:panose1 w:val="020B0604020202020204"/>
    <w:charset w:val="00"/>
    <w:family w:val="swiss"/>
    <w:pitch w:val="variable"/>
    <w:sig w:usb0="E0002AFF" w:usb1="C0007843" w:usb2="00000009" w:usb3="00000000" w:csb0="000001FF" w:csb1="00000000"/>
    <w:embedRegular r:id="rId9" w:fontKey="{92EE0B97-0656-2D4C-91FE-79F51A43894B}"/>
    <w:embedBold r:id="rId10" w:fontKey="{A3D4B2B8-70CE-4B4F-897F-DE95BCC33789}"/>
  </w:font>
  <w:font w:name="Roboto">
    <w:panose1 w:val="02000000000000000000"/>
    <w:charset w:val="00"/>
    <w:family w:val="auto"/>
    <w:pitch w:val="variable"/>
    <w:sig w:usb0="E0000AFF" w:usb1="5000217F" w:usb2="00000021" w:usb3="00000000" w:csb0="0000019F" w:csb1="00000000"/>
    <w:embedRegular r:id="rId11" w:fontKey="{682FCE37-FA2E-2646-884C-68B214B0C26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EA179" w14:textId="77777777" w:rsidR="00C64ACE" w:rsidRDefault="00C64ACE">
    <w:pPr>
      <w:widowControl w:val="0"/>
      <w:pBdr>
        <w:top w:val="nil"/>
        <w:left w:val="nil"/>
        <w:bottom w:val="nil"/>
        <w:right w:val="nil"/>
        <w:between w:val="nil"/>
      </w:pBdr>
      <w:spacing w:after="0" w:line="276" w:lineRule="auto"/>
    </w:pPr>
  </w:p>
  <w:tbl>
    <w:tblPr>
      <w:tblStyle w:val="a"/>
      <w:tblW w:w="9015" w:type="dxa"/>
      <w:tblInd w:w="0" w:type="dxa"/>
      <w:tblLayout w:type="fixed"/>
      <w:tblLook w:val="0600" w:firstRow="0" w:lastRow="0" w:firstColumn="0" w:lastColumn="0" w:noHBand="1" w:noVBand="1"/>
    </w:tblPr>
    <w:tblGrid>
      <w:gridCol w:w="3005"/>
      <w:gridCol w:w="3005"/>
      <w:gridCol w:w="3005"/>
    </w:tblGrid>
    <w:tr w:rsidR="00C64ACE" w14:paraId="0426F458" w14:textId="77777777">
      <w:trPr>
        <w:trHeight w:val="300"/>
      </w:trPr>
      <w:tc>
        <w:tcPr>
          <w:tcW w:w="3005" w:type="dxa"/>
        </w:tcPr>
        <w:p w14:paraId="65A57798" w14:textId="77777777" w:rsidR="00C64ACE" w:rsidRDefault="00C64ACE">
          <w:pPr>
            <w:pBdr>
              <w:top w:val="nil"/>
              <w:left w:val="nil"/>
              <w:bottom w:val="nil"/>
              <w:right w:val="nil"/>
              <w:between w:val="nil"/>
            </w:pBdr>
            <w:tabs>
              <w:tab w:val="center" w:pos="4680"/>
              <w:tab w:val="right" w:pos="9360"/>
            </w:tabs>
            <w:spacing w:after="0" w:line="240" w:lineRule="auto"/>
            <w:ind w:left="-115"/>
            <w:rPr>
              <w:color w:val="000000"/>
            </w:rPr>
          </w:pPr>
        </w:p>
      </w:tc>
      <w:tc>
        <w:tcPr>
          <w:tcW w:w="3005" w:type="dxa"/>
        </w:tcPr>
        <w:p w14:paraId="17E9FDDA" w14:textId="77777777" w:rsidR="00C64ACE" w:rsidRDefault="00C64ACE">
          <w:pPr>
            <w:pBdr>
              <w:top w:val="nil"/>
              <w:left w:val="nil"/>
              <w:bottom w:val="nil"/>
              <w:right w:val="nil"/>
              <w:between w:val="nil"/>
            </w:pBdr>
            <w:tabs>
              <w:tab w:val="center" w:pos="4680"/>
              <w:tab w:val="right" w:pos="9360"/>
            </w:tabs>
            <w:spacing w:after="0" w:line="240" w:lineRule="auto"/>
            <w:jc w:val="center"/>
            <w:rPr>
              <w:color w:val="000000"/>
            </w:rPr>
          </w:pPr>
        </w:p>
      </w:tc>
      <w:tc>
        <w:tcPr>
          <w:tcW w:w="3005" w:type="dxa"/>
        </w:tcPr>
        <w:p w14:paraId="06BC62CD" w14:textId="77777777" w:rsidR="00C64ACE" w:rsidRDefault="00C64ACE">
          <w:pPr>
            <w:pBdr>
              <w:top w:val="nil"/>
              <w:left w:val="nil"/>
              <w:bottom w:val="nil"/>
              <w:right w:val="nil"/>
              <w:between w:val="nil"/>
            </w:pBdr>
            <w:tabs>
              <w:tab w:val="center" w:pos="4680"/>
              <w:tab w:val="right" w:pos="9360"/>
            </w:tabs>
            <w:spacing w:after="0" w:line="240" w:lineRule="auto"/>
            <w:ind w:right="-115"/>
            <w:jc w:val="right"/>
            <w:rPr>
              <w:color w:val="000000"/>
            </w:rPr>
          </w:pPr>
        </w:p>
      </w:tc>
    </w:tr>
  </w:tbl>
  <w:p w14:paraId="65788B57" w14:textId="77777777" w:rsidR="00C64ACE" w:rsidRDefault="00C64ACE">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8C4C4A" w14:textId="77777777" w:rsidR="00C92D2E" w:rsidRDefault="00C92D2E">
      <w:pPr>
        <w:spacing w:after="0" w:line="240" w:lineRule="auto"/>
      </w:pPr>
      <w:r>
        <w:separator/>
      </w:r>
    </w:p>
  </w:footnote>
  <w:footnote w:type="continuationSeparator" w:id="0">
    <w:p w14:paraId="2A227FE6" w14:textId="77777777" w:rsidR="00C92D2E" w:rsidRDefault="00C92D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189784" w14:textId="77777777" w:rsidR="00C64ACE" w:rsidRDefault="00000000">
    <w:pPr>
      <w:jc w:val="center"/>
    </w:pPr>
    <w:r>
      <w:rPr>
        <w:noProof/>
      </w:rPr>
      <w:drawing>
        <wp:inline distT="0" distB="0" distL="0" distR="0" wp14:anchorId="21CF3B5F" wp14:editId="26257FF5">
          <wp:extent cx="4140413" cy="800141"/>
          <wp:effectExtent l="0" t="0" r="0" b="0"/>
          <wp:docPr id="163546353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140413" cy="800141"/>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A666E5B"/>
    <w:multiLevelType w:val="multilevel"/>
    <w:tmpl w:val="D4B01D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119362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7"/>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4ACE"/>
    <w:rsid w:val="00170935"/>
    <w:rsid w:val="00640699"/>
    <w:rsid w:val="006672A9"/>
    <w:rsid w:val="007817D8"/>
    <w:rsid w:val="00BA1CA8"/>
    <w:rsid w:val="00C006F0"/>
    <w:rsid w:val="00C64ACE"/>
    <w:rsid w:val="00C92D2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4:docId w14:val="3915EA69"/>
  <w15:docId w15:val="{F10DFDD8-3989-1147-A312-528A8B829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s-ES" w:eastAsia="es-MX"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rsid w:val="1F630110"/>
    <w:pPr>
      <w:keepNext/>
      <w:keepLines/>
      <w:spacing w:before="160" w:after="80"/>
      <w:outlineLvl w:val="1"/>
    </w:pPr>
    <w:rPr>
      <w:rFonts w:asciiTheme="majorHAnsi" w:eastAsiaTheme="minorEastAsia" w:hAnsiTheme="majorHAnsi" w:cstheme="majorEastAsia"/>
      <w:color w:val="0F4761" w:themeColor="accent1" w:themeShade="BF"/>
      <w:sz w:val="32"/>
      <w:szCs w:val="32"/>
    </w:rPr>
  </w:style>
  <w:style w:type="paragraph" w:styleId="Ttulo3">
    <w:name w:val="heading 3"/>
    <w:basedOn w:val="Normal"/>
    <w:next w:val="Normal"/>
    <w:uiPriority w:val="9"/>
    <w:semiHidden/>
    <w:unhideWhenUsed/>
    <w:qFormat/>
    <w:rsid w:val="4952C639"/>
    <w:pPr>
      <w:keepNext/>
      <w:keepLines/>
      <w:spacing w:before="160" w:after="80"/>
      <w:outlineLvl w:val="2"/>
    </w:pPr>
    <w:rPr>
      <w:rFonts w:eastAsiaTheme="minorEastAsia" w:cstheme="majorEastAsia"/>
      <w:color w:val="0F4761" w:themeColor="accent1" w:themeShade="BF"/>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Prrafodelista">
    <w:name w:val="List Paragraph"/>
    <w:basedOn w:val="Normal"/>
    <w:uiPriority w:val="34"/>
    <w:qFormat/>
    <w:rsid w:val="4952C639"/>
    <w:pPr>
      <w:ind w:left="720"/>
      <w:contextualSpacing/>
    </w:pPr>
  </w:style>
  <w:style w:type="character" w:styleId="Hipervnculo">
    <w:name w:val="Hyperlink"/>
    <w:basedOn w:val="Fuentedeprrafopredeter"/>
    <w:uiPriority w:val="99"/>
    <w:unhideWhenUsed/>
    <w:rsid w:val="4952C639"/>
    <w:rPr>
      <w:color w:val="467886"/>
      <w:u w:val="single"/>
    </w:rPr>
  </w:style>
  <w:style w:type="paragraph" w:styleId="Encabezado">
    <w:name w:val="header"/>
    <w:basedOn w:val="Normal"/>
    <w:uiPriority w:val="99"/>
    <w:unhideWhenUsed/>
    <w:rsid w:val="4952C639"/>
    <w:pPr>
      <w:tabs>
        <w:tab w:val="center" w:pos="4680"/>
        <w:tab w:val="right" w:pos="9360"/>
      </w:tabs>
      <w:spacing w:after="0" w:line="240" w:lineRule="auto"/>
    </w:pPr>
  </w:style>
  <w:style w:type="paragraph" w:styleId="Piedepgina">
    <w:name w:val="footer"/>
    <w:basedOn w:val="Normal"/>
    <w:uiPriority w:val="99"/>
    <w:unhideWhenUsed/>
    <w:rsid w:val="4952C639"/>
    <w:pPr>
      <w:tabs>
        <w:tab w:val="center" w:pos="4680"/>
        <w:tab w:val="right" w:pos="9360"/>
      </w:tabs>
      <w:spacing w:after="0" w:line="240" w:lineRule="auto"/>
    </w:pPr>
  </w:style>
  <w:style w:type="table" w:styleId="Tablaconcuadrcula">
    <w:name w:val="Table Grid"/>
    <w:basedOn w:val="Tab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vidantaworld.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francisco.granados@another.co" TargetMode="External"/><Relationship Id="rId4" Type="http://schemas.openxmlformats.org/officeDocument/2006/relationships/settings" Target="settings.xml"/><Relationship Id="rId9" Type="http://schemas.openxmlformats.org/officeDocument/2006/relationships/hyperlink" Target="https://www.vidantaworld.com/es/summercamp"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8Bp7KcOTG7JDrYq3JzpNExCfBQ==">CgMxLjA4AHIhMWJlQzVsU2NhOVRaSzlfMHc1TDQxem15WjE1OGFvdlhN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918</Words>
  <Characters>5049</Characters>
  <Application>Microsoft Office Word</Application>
  <DocSecurity>0</DocSecurity>
  <Lines>42</Lines>
  <Paragraphs>11</Paragraphs>
  <ScaleCrop>false</ScaleCrop>
  <Company/>
  <LinksUpToDate>false</LinksUpToDate>
  <CharactersWithSpaces>5956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Yazmin Veloz Romero</dc:creator>
  <cp:lastModifiedBy>Francisco Granados</cp:lastModifiedBy>
  <cp:revision>4</cp:revision>
  <dcterms:created xsi:type="dcterms:W3CDTF">2025-04-21T18:39:00Z</dcterms:created>
  <dcterms:modified xsi:type="dcterms:W3CDTF">2025-05-29T19:09:00Z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0x01010009FFD12E64736A40BE28B151472001BD</vt:lpwstr>
  </property>
  <property fmtid="{D5CDD505-2E9C-101B-9397-08002B2CF9AE}" pid="3" name="MediaServiceImageTags">
    <vt:lpwstr/>
  </property>
</Properties>
</file>